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 Neue" w:hAnsi="Helvetica Neue" w:cs="Helvetica Neue"/>
          <w:sz w:val="40"/>
          <w:sz-cs w:val="40"/>
          <w:b/>
        </w:rPr>
        <w:t xml:space="preserve">BIO GROOVER SOCIETY INGLES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/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Founder of GRVR Society. Born in Alicante, GRVR Society is a rapidly rising collective dedicated to Techno/Groove music and immersive experiences within the underground hardgroove, techno, and hard dance scenes.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Forged from a shared passion for intense rhythms and a deep understanding of nightlife culture, the collective has quickly made a name for itself.</w:t>
      </w:r>
    </w:p>
    <w:p>
      <w:pPr/>
      <w:r>
        <w:rPr>
          <w:rFonts w:ascii="Helvetica Neue" w:hAnsi="Helvetica Neue" w:cs="Helvetica Neue"/>
          <w:sz w:val="26"/>
          <w:sz-cs w:val="26"/>
        </w:rPr>
        <w:t xml:space="preserve">Having already hosted a series of events, GRVR Society is rapidly building a solid reputation for curating unforgettable nights, where the focus remains purely on the music and the raw, shared energy of the dancefloor.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